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D1" w:rsidRDefault="00A5260B" w:rsidP="00025B64">
      <w:pPr>
        <w:pStyle w:val="20"/>
        <w:shd w:val="clear" w:color="auto" w:fill="auto"/>
        <w:ind w:left="9200" w:right="3820"/>
      </w:pPr>
      <w:r>
        <w:t xml:space="preserve">Приложение </w:t>
      </w:r>
    </w:p>
    <w:p w:rsidR="004F57D1" w:rsidRDefault="00A5260B" w:rsidP="004F57D1">
      <w:pPr>
        <w:pStyle w:val="20"/>
        <w:shd w:val="clear" w:color="auto" w:fill="auto"/>
        <w:ind w:left="9200" w:right="-40"/>
      </w:pPr>
      <w:r>
        <w:t>к решению</w:t>
      </w:r>
      <w:r w:rsidR="004F57D1">
        <w:t xml:space="preserve"> </w:t>
      </w:r>
      <w:r w:rsidR="00DA0B10">
        <w:t>Лидского районного</w:t>
      </w:r>
      <w:r>
        <w:t xml:space="preserve"> </w:t>
      </w:r>
    </w:p>
    <w:p w:rsidR="003B08EC" w:rsidRDefault="00A5260B" w:rsidP="004F57D1">
      <w:pPr>
        <w:pStyle w:val="20"/>
        <w:shd w:val="clear" w:color="auto" w:fill="auto"/>
        <w:ind w:left="9200" w:right="-40"/>
      </w:pPr>
      <w:r>
        <w:t xml:space="preserve">Совета депутатов </w:t>
      </w:r>
    </w:p>
    <w:p w:rsidR="004F57D1" w:rsidRDefault="004F57D1" w:rsidP="00025B64">
      <w:pPr>
        <w:pStyle w:val="20"/>
        <w:shd w:val="clear" w:color="auto" w:fill="auto"/>
        <w:ind w:left="9200" w:right="2340"/>
      </w:pPr>
      <w:r>
        <w:t>29.06.2021 № 205</w:t>
      </w:r>
    </w:p>
    <w:p w:rsidR="004F57D1" w:rsidRDefault="004F57D1" w:rsidP="004F57D1">
      <w:pPr>
        <w:pStyle w:val="20"/>
        <w:shd w:val="clear" w:color="auto" w:fill="auto"/>
        <w:spacing w:line="360" w:lineRule="auto"/>
        <w:ind w:left="9202" w:right="2342"/>
      </w:pPr>
    </w:p>
    <w:p w:rsidR="003B08EC" w:rsidRDefault="00A5260B" w:rsidP="00025B64">
      <w:pPr>
        <w:pStyle w:val="20"/>
        <w:shd w:val="clear" w:color="auto" w:fill="auto"/>
        <w:jc w:val="both"/>
      </w:pPr>
      <w:r>
        <w:t>ЗНАЧЕНИЯ</w:t>
      </w:r>
    </w:p>
    <w:p w:rsidR="003B08EC" w:rsidRDefault="00A5260B" w:rsidP="00025B64">
      <w:pPr>
        <w:pStyle w:val="20"/>
        <w:shd w:val="clear" w:color="auto" w:fill="auto"/>
        <w:tabs>
          <w:tab w:val="left" w:pos="3763"/>
          <w:tab w:val="left" w:pos="4272"/>
        </w:tabs>
        <w:ind w:right="8360"/>
        <w:jc w:val="both"/>
      </w:pPr>
      <w:r>
        <w:t>целевых показателей, характеризующих выполнение задач регионального Плана мероприятий по реализации Государственной программы «Здоровье народа и демографическая безопасность» на 2021-2025 годы в</w:t>
      </w:r>
      <w:r w:rsidR="00025B64">
        <w:t xml:space="preserve"> </w:t>
      </w:r>
      <w:r w:rsidR="00DA0B10">
        <w:t>Лидском районе</w:t>
      </w:r>
    </w:p>
    <w:p w:rsidR="00025B64" w:rsidRDefault="00025B64" w:rsidP="004F57D1">
      <w:pPr>
        <w:pStyle w:val="20"/>
        <w:shd w:val="clear" w:color="auto" w:fill="auto"/>
        <w:tabs>
          <w:tab w:val="left" w:pos="3763"/>
          <w:tab w:val="left" w:pos="4272"/>
        </w:tabs>
        <w:spacing w:line="360" w:lineRule="auto"/>
        <w:ind w:right="8358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20"/>
        <w:gridCol w:w="3467"/>
        <w:gridCol w:w="1162"/>
        <w:gridCol w:w="1162"/>
        <w:gridCol w:w="1162"/>
        <w:gridCol w:w="1190"/>
        <w:gridCol w:w="1200"/>
      </w:tblGrid>
      <w:tr w:rsidR="003B08EC" w:rsidTr="00AF3A8B">
        <w:trPr>
          <w:trHeight w:hRule="exact" w:val="274"/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12pt"/>
              </w:rPr>
              <w:t>Наименование целевого показателя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after="60" w:line="240" w:lineRule="exact"/>
              <w:jc w:val="center"/>
            </w:pPr>
            <w:r>
              <w:rPr>
                <w:rStyle w:val="212pt"/>
              </w:rPr>
              <w:t>Единица</w:t>
            </w:r>
          </w:p>
          <w:p w:rsidR="003B08EC" w:rsidRDefault="00A5260B" w:rsidP="00025B64">
            <w:pPr>
              <w:pStyle w:val="20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измерения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12pt"/>
              </w:rPr>
              <w:t>Ответственные за достижение значений показателей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Значения целевых показателей</w:t>
            </w:r>
          </w:p>
        </w:tc>
      </w:tr>
      <w:tr w:rsidR="003B08EC" w:rsidTr="004F57D1">
        <w:trPr>
          <w:trHeight w:hRule="exact" w:val="322"/>
          <w:tblHeader/>
        </w:trPr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08EC" w:rsidRDefault="003B08EC" w:rsidP="00025B64">
            <w:pPr>
              <w:jc w:val="center"/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08EC" w:rsidRDefault="003B08EC" w:rsidP="00025B64">
            <w:pPr>
              <w:jc w:val="center"/>
            </w:pPr>
          </w:p>
        </w:tc>
        <w:tc>
          <w:tcPr>
            <w:tcW w:w="34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08EC" w:rsidRDefault="003B08EC" w:rsidP="00025B64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2021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2022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ind w:left="47"/>
              <w:jc w:val="center"/>
            </w:pPr>
            <w:r>
              <w:rPr>
                <w:rStyle w:val="212pt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ind w:left="-9"/>
              <w:jc w:val="center"/>
            </w:pPr>
            <w:r>
              <w:rPr>
                <w:rStyle w:val="212pt"/>
              </w:rPr>
              <w:t>2025</w:t>
            </w:r>
          </w:p>
        </w:tc>
      </w:tr>
      <w:tr w:rsidR="003B08EC" w:rsidTr="004F57D1">
        <w:trPr>
          <w:trHeight w:hRule="exact" w:val="269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Сводный целевой показатель</w:t>
            </w:r>
          </w:p>
        </w:tc>
      </w:tr>
      <w:tr w:rsidR="003B08EC" w:rsidTr="004F57D1">
        <w:trPr>
          <w:trHeight w:hRule="exact" w:val="288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Целевые показатели подпрограммы 1 «Семья и детство»</w:t>
            </w:r>
          </w:p>
        </w:tc>
      </w:tr>
      <w:tr w:rsidR="003B08EC" w:rsidTr="004F57D1">
        <w:trPr>
          <w:trHeight w:hRule="exact" w:val="703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302" w:lineRule="exact"/>
              <w:jc w:val="center"/>
            </w:pPr>
            <w:r>
              <w:rPr>
                <w:rStyle w:val="212pt"/>
              </w:rPr>
              <w:t>Задача 1. Совершенствование службы планирования семьи, улучшение качества и доступности медицинской помощи женщинам и детям, развитие системы поддержки семей с детьми и улучшение условий их жизнедеятельности</w:t>
            </w:r>
          </w:p>
        </w:tc>
      </w:tr>
      <w:tr w:rsidR="003B08EC" w:rsidTr="004F57D1">
        <w:trPr>
          <w:trHeight w:hRule="exact" w:val="5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1</w:t>
            </w:r>
            <w:r w:rsidR="00A5260B">
              <w:rPr>
                <w:rStyle w:val="212pt"/>
              </w:rPr>
              <w:t>. Коэффициент младенческой смертности на 1000 родившихся живыми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промилле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3,0</w:t>
            </w:r>
          </w:p>
        </w:tc>
      </w:tr>
      <w:tr w:rsidR="003B08EC" w:rsidTr="004F57D1">
        <w:trPr>
          <w:trHeight w:hRule="exact" w:val="5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2</w:t>
            </w:r>
            <w:r w:rsidR="00A5260B">
              <w:rPr>
                <w:rStyle w:val="212pt"/>
              </w:rPr>
              <w:t>. Детская смертность на 100 тысяч детского населения (0-17 лет)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2pt"/>
              </w:rPr>
              <w:t>просантимилле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60"/>
              <w:jc w:val="center"/>
            </w:pPr>
            <w:r>
              <w:rPr>
                <w:rStyle w:val="212pt"/>
              </w:rPr>
              <w:t>30,0</w:t>
            </w:r>
          </w:p>
        </w:tc>
      </w:tr>
      <w:tr w:rsidR="003B08EC" w:rsidTr="004F57D1">
        <w:trPr>
          <w:trHeight w:hRule="exact" w:val="559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7D1" w:rsidRDefault="00A5260B" w:rsidP="004F57D1">
            <w:pPr>
              <w:pStyle w:val="20"/>
              <w:shd w:val="clear" w:color="auto" w:fill="auto"/>
              <w:spacing w:after="60" w:line="240" w:lineRule="exact"/>
              <w:ind w:left="160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Задача 2. Популяризация в обществе духовно-нравственных ценностей института семьи, </w:t>
            </w:r>
          </w:p>
          <w:p w:rsidR="003B08EC" w:rsidRDefault="00A5260B" w:rsidP="004F57D1">
            <w:pPr>
              <w:pStyle w:val="20"/>
              <w:shd w:val="clear" w:color="auto" w:fill="auto"/>
              <w:spacing w:after="60" w:line="240" w:lineRule="exact"/>
              <w:ind w:left="160"/>
              <w:jc w:val="center"/>
            </w:pPr>
            <w:r>
              <w:rPr>
                <w:rStyle w:val="212pt"/>
              </w:rPr>
              <w:t>совершенствование системы подготовки</w:t>
            </w:r>
            <w:r w:rsidR="004F57D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молодежи к семейной жизни</w:t>
            </w:r>
          </w:p>
        </w:tc>
      </w:tr>
      <w:tr w:rsidR="003B08EC" w:rsidTr="004F57D1">
        <w:trPr>
          <w:trHeight w:hRule="exact" w:val="2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CF2805" w:rsidP="00025B64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12pt"/>
              </w:rPr>
              <w:t>3</w:t>
            </w:r>
            <w:r w:rsidR="00A5260B">
              <w:rPr>
                <w:rStyle w:val="212pt"/>
              </w:rPr>
              <w:t>. Доля учреждений общего среднего образования, в которых реализуются программы педагогического</w:t>
            </w:r>
            <w:r w:rsidR="00025B64">
              <w:rPr>
                <w:rStyle w:val="212pt"/>
              </w:rPr>
              <w:t xml:space="preserve"> просвещения родителей и (или) программы факультативных занятий, содержание вопросы подготовки обучающихся к семейной жизни, в общем количестве таких учреждений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процентов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12pt"/>
              </w:rPr>
              <w:t>Управление образования Лидского райисполкома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70,0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60"/>
              <w:jc w:val="center"/>
            </w:pPr>
            <w:r>
              <w:rPr>
                <w:rStyle w:val="212pt"/>
              </w:rPr>
              <w:t>100,0</w:t>
            </w:r>
          </w:p>
        </w:tc>
      </w:tr>
      <w:tr w:rsidR="003B08EC" w:rsidTr="004F57D1">
        <w:trPr>
          <w:trHeight w:hRule="exact" w:val="273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lastRenderedPageBreak/>
              <w:t>Целевые показатели подпрограммы 2 «Профилактика и контроль неинфекционных заболеваний»</w:t>
            </w:r>
          </w:p>
        </w:tc>
      </w:tr>
      <w:tr w:rsidR="003B08EC" w:rsidTr="004F57D1">
        <w:trPr>
          <w:trHeight w:hRule="exact" w:val="263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Задача 1. Снижение влияния факторов риска неинфекционных заболеваний за счет создания единой профилактической среды</w:t>
            </w:r>
          </w:p>
        </w:tc>
      </w:tr>
      <w:tr w:rsidR="003B08EC" w:rsidTr="004F57D1">
        <w:trPr>
          <w:trHeight w:hRule="exact" w:val="8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CF2805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4</w:t>
            </w:r>
            <w:r w:rsidR="00A5260B">
              <w:rPr>
                <w:rStyle w:val="212pt"/>
              </w:rPr>
              <w:t>. Снижение потребления всех видов табачной продукции среди лиц в возрасте 18 - 69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процентов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Управление торговли Лидского райисполкома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28,8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60"/>
              <w:jc w:val="center"/>
            </w:pPr>
            <w:r>
              <w:rPr>
                <w:rStyle w:val="212pt"/>
              </w:rPr>
              <w:t>28,5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28,2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27,8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27,4</w:t>
            </w:r>
          </w:p>
        </w:tc>
      </w:tr>
      <w:tr w:rsidR="003B08EC" w:rsidTr="004F57D1">
        <w:trPr>
          <w:trHeight w:hRule="exact" w:val="1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CF2805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5</w:t>
            </w:r>
            <w:r w:rsidR="00A5260B">
              <w:rPr>
                <w:rStyle w:val="212pt"/>
              </w:rPr>
              <w:t>. Снижение количества лиц в возрасте 18 - 69 лет, физическая активность которых не отвечает рекомендациям ВОЗ (менее 150 минут в неделю)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процентов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Управление образования Лидского райисполкома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13,1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60"/>
              <w:jc w:val="center"/>
            </w:pPr>
            <w:r>
              <w:rPr>
                <w:rStyle w:val="212pt"/>
              </w:rPr>
              <w:t>13,0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12,8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12,4</w:t>
            </w:r>
          </w:p>
        </w:tc>
      </w:tr>
      <w:tr w:rsidR="003B08EC" w:rsidTr="004F57D1">
        <w:trPr>
          <w:trHeight w:hRule="exact" w:val="279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Задача 2. Обеспечение всеобщего и доступного охвата населения услугами первичной медицинской помощи</w:t>
            </w:r>
          </w:p>
        </w:tc>
      </w:tr>
      <w:tr w:rsidR="003B08EC" w:rsidTr="004F57D1">
        <w:trPr>
          <w:trHeight w:hRule="exact"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CF2805" w:rsidP="00025B64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12pt"/>
              </w:rPr>
              <w:t>6</w:t>
            </w:r>
            <w:r w:rsidR="00A5260B">
              <w:rPr>
                <w:rStyle w:val="212pt"/>
              </w:rPr>
              <w:t>. Охват населения работой команд врачей общей практики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процентов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Pr="004F57D1" w:rsidRDefault="00DA0B10" w:rsidP="00025B64">
            <w:pPr>
              <w:pStyle w:val="2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F57D1">
              <w:rPr>
                <w:sz w:val="24"/>
                <w:szCs w:val="24"/>
              </w:rPr>
              <w:t>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60"/>
              <w:jc w:val="center"/>
            </w:pPr>
            <w:r>
              <w:rPr>
                <w:rStyle w:val="212pt"/>
              </w:rPr>
              <w:t>50,0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75,0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95,0</w:t>
            </w:r>
          </w:p>
        </w:tc>
      </w:tr>
      <w:tr w:rsidR="003B08EC" w:rsidTr="004F57D1">
        <w:trPr>
          <w:trHeight w:hRule="exact" w:val="561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after="60" w:line="240" w:lineRule="exact"/>
              <w:jc w:val="center"/>
            </w:pPr>
            <w:r>
              <w:rPr>
                <w:rStyle w:val="212pt"/>
              </w:rPr>
              <w:t>Задача 3. Снижение преждевременной смертности и стабилизация инвалидности населения, наступивших по причине</w:t>
            </w:r>
          </w:p>
          <w:p w:rsidR="003B08EC" w:rsidRDefault="00A5260B" w:rsidP="004F57D1">
            <w:pPr>
              <w:pStyle w:val="20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неинфекционных заболеваний</w:t>
            </w:r>
          </w:p>
        </w:tc>
      </w:tr>
      <w:tr w:rsidR="003B08EC" w:rsidTr="004F57D1">
        <w:trPr>
          <w:trHeight w:hRule="exact"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CF2805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7</w:t>
            </w:r>
            <w:r w:rsidR="00A5260B">
              <w:rPr>
                <w:rStyle w:val="212pt"/>
              </w:rPr>
              <w:t>. Показатель тяжести первичного выхода на инвалидность лиц трудоспособного возраста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процентов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20"/>
            </w:pPr>
            <w:r>
              <w:rPr>
                <w:rStyle w:val="212pt"/>
              </w:rPr>
              <w:t>50,0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20"/>
            </w:pPr>
            <w:r>
              <w:rPr>
                <w:rStyle w:val="212pt"/>
              </w:rPr>
              <w:t>50,0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20"/>
            </w:pPr>
            <w:r>
              <w:rPr>
                <w:rStyle w:val="212pt"/>
              </w:rPr>
              <w:t>50,0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40"/>
            </w:pPr>
            <w:r>
              <w:rPr>
                <w:rStyle w:val="212pt"/>
              </w:rPr>
              <w:t>50,0</w:t>
            </w:r>
          </w:p>
        </w:tc>
      </w:tr>
      <w:tr w:rsidR="003B08EC" w:rsidTr="004F57D1">
        <w:trPr>
          <w:trHeight w:hRule="exact" w:val="8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CF2805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8</w:t>
            </w:r>
            <w:r w:rsidR="00A5260B">
              <w:rPr>
                <w:rStyle w:val="212pt"/>
              </w:rPr>
              <w:t>. Охват комплексным обследованием пациентов с острыми нарушениями мозгового кровообращения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процентов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60"/>
              <w:jc w:val="center"/>
            </w:pPr>
            <w:r>
              <w:rPr>
                <w:rStyle w:val="212pt"/>
              </w:rPr>
              <w:t>95,0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95,0</w:t>
            </w:r>
          </w:p>
        </w:tc>
      </w:tr>
      <w:tr w:rsidR="003B08EC" w:rsidTr="004F57D1">
        <w:trPr>
          <w:trHeight w:hRule="exact" w:val="5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CF2805" w:rsidP="00CF2805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9</w:t>
            </w:r>
            <w:r w:rsidR="00A5260B">
              <w:rPr>
                <w:rStyle w:val="212pt"/>
              </w:rPr>
              <w:t>. Показатель летальности от острого нарушения мозгового кровообращения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процентов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15,5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60"/>
              <w:jc w:val="center"/>
            </w:pPr>
            <w:r>
              <w:rPr>
                <w:rStyle w:val="212pt"/>
              </w:rPr>
              <w:t>15,0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14,0</w:t>
            </w:r>
          </w:p>
        </w:tc>
      </w:tr>
      <w:tr w:rsidR="003B08EC" w:rsidTr="004F57D1">
        <w:trPr>
          <w:trHeight w:hRule="exact" w:val="5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CF2805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12pt"/>
              </w:rPr>
              <w:t>1</w:t>
            </w:r>
            <w:r w:rsidR="00CF2805">
              <w:rPr>
                <w:rStyle w:val="212pt"/>
              </w:rPr>
              <w:t>0</w:t>
            </w:r>
            <w:r>
              <w:rPr>
                <w:rStyle w:val="212pt"/>
              </w:rPr>
              <w:t>. Одногодичная летальность при злокачественных новообразованиях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процентов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60"/>
              <w:jc w:val="center"/>
            </w:pPr>
            <w:r>
              <w:rPr>
                <w:rStyle w:val="212pt"/>
              </w:rPr>
              <w:t>21,9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21,8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21,6</w:t>
            </w:r>
          </w:p>
        </w:tc>
      </w:tr>
      <w:tr w:rsidR="003B08EC" w:rsidTr="004F57D1">
        <w:trPr>
          <w:trHeight w:hRule="exact" w:val="5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CF2805" w:rsidP="00025B64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2pt"/>
              </w:rPr>
              <w:t>11</w:t>
            </w:r>
            <w:r w:rsidR="00A5260B">
              <w:rPr>
                <w:rStyle w:val="212pt"/>
              </w:rPr>
              <w:t>. Коэффициент смертности трудоспособного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промилле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3,7</w:t>
            </w:r>
          </w:p>
        </w:tc>
      </w:tr>
      <w:tr w:rsidR="003B08EC" w:rsidTr="004F57D1">
        <w:trPr>
          <w:trHeight w:hRule="exact" w:val="273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ind w:left="280"/>
              <w:jc w:val="center"/>
            </w:pPr>
            <w:r>
              <w:rPr>
                <w:rStyle w:val="212pt"/>
              </w:rPr>
              <w:t>Целевые показатели подпрограммы 3 «Предупреждение и преодоление пьянства и алкоголизма, охрана психического здоровья»</w:t>
            </w:r>
          </w:p>
        </w:tc>
      </w:tr>
      <w:tr w:rsidR="003B08EC" w:rsidTr="004F57D1">
        <w:trPr>
          <w:trHeight w:hRule="exact" w:val="292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after="120" w:line="240" w:lineRule="exact"/>
              <w:ind w:left="280"/>
              <w:jc w:val="center"/>
            </w:pPr>
            <w:r>
              <w:rPr>
                <w:rStyle w:val="212pt"/>
              </w:rPr>
              <w:t>Задача 1 Снижение уровня негативных социальных и экономических последствий пьянства и алкоголизма, потребления других</w:t>
            </w:r>
            <w:r w:rsidR="004F57D1"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психоактивных</w:t>
            </w:r>
            <w:proofErr w:type="spellEnd"/>
            <w:r>
              <w:rPr>
                <w:rStyle w:val="212pt"/>
              </w:rPr>
              <w:t xml:space="preserve"> веществ</w:t>
            </w:r>
          </w:p>
        </w:tc>
      </w:tr>
      <w:tr w:rsidR="003B08EC" w:rsidTr="004F57D1">
        <w:trPr>
          <w:trHeight w:hRule="exact" w:val="8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CF2805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1</w:t>
            </w:r>
            <w:r w:rsidR="00CF2805">
              <w:rPr>
                <w:rStyle w:val="212pt"/>
              </w:rPr>
              <w:t>2</w:t>
            </w:r>
            <w:r>
              <w:rPr>
                <w:rStyle w:val="212pt"/>
              </w:rPr>
              <w:t>. Объем потребления зарегистрированного алкоголя на душу населения в возрасте 15 лет и старше в абсолютном алкоголе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литров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Управление торговли Лидского райисполкома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10,9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10,8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10,7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10,6</w:t>
            </w:r>
          </w:p>
        </w:tc>
      </w:tr>
      <w:tr w:rsidR="003B08EC" w:rsidTr="004F57D1">
        <w:trPr>
          <w:trHeight w:hRule="exact" w:val="8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CF2805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lastRenderedPageBreak/>
              <w:t>1</w:t>
            </w:r>
            <w:r w:rsidR="00CF2805">
              <w:rPr>
                <w:rStyle w:val="212pt"/>
              </w:rPr>
              <w:t>3</w:t>
            </w:r>
            <w:r>
              <w:rPr>
                <w:rStyle w:val="212pt"/>
              </w:rPr>
              <w:t xml:space="preserve">. Охват реабилитационными мероприятиями лиц, страдающих зависимостью от </w:t>
            </w:r>
            <w:proofErr w:type="spellStart"/>
            <w:r>
              <w:rPr>
                <w:rStyle w:val="212pt"/>
              </w:rPr>
              <w:t>психоактивных</w:t>
            </w:r>
            <w:proofErr w:type="spellEnd"/>
            <w:r>
              <w:rPr>
                <w:rStyle w:val="212pt"/>
              </w:rPr>
              <w:t xml:space="preserve"> веществ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процентов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Pr="00DA0B10" w:rsidRDefault="00DA0B10" w:rsidP="00025B64">
            <w:pPr>
              <w:pStyle w:val="2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DA0B10">
              <w:rPr>
                <w:sz w:val="24"/>
                <w:szCs w:val="24"/>
              </w:rPr>
              <w:t>Лидская ЦРБ, ОПНБ «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DA0B10">
              <w:rPr>
                <w:sz w:val="24"/>
                <w:szCs w:val="24"/>
              </w:rPr>
              <w:t>стровля</w:t>
            </w:r>
            <w:proofErr w:type="spellEnd"/>
            <w:r w:rsidRPr="00DA0B10">
              <w:rPr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7,4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12,5</w:t>
            </w:r>
          </w:p>
        </w:tc>
      </w:tr>
      <w:tr w:rsidR="003B08EC" w:rsidTr="004F57D1">
        <w:trPr>
          <w:trHeight w:hRule="exact" w:val="283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Задача 2. Охрана психического здоровья и снижение уровня суицидов</w:t>
            </w:r>
          </w:p>
        </w:tc>
      </w:tr>
      <w:tr w:rsidR="003B08EC" w:rsidTr="004F57D1">
        <w:trPr>
          <w:trHeight w:hRule="exact"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CF2805" w:rsidP="00025B64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12pt"/>
              </w:rPr>
              <w:t>14</w:t>
            </w:r>
            <w:r w:rsidR="00A5260B">
              <w:rPr>
                <w:rStyle w:val="212pt"/>
              </w:rPr>
              <w:t>. Смертность от суицидов на 100 тысяч человек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2pt"/>
              </w:rPr>
              <w:t>просантимилле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17,7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17,5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17,2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16,7</w:t>
            </w:r>
          </w:p>
        </w:tc>
      </w:tr>
      <w:tr w:rsidR="003B08EC" w:rsidTr="004F57D1">
        <w:trPr>
          <w:trHeight w:hRule="exact" w:val="296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Целевые показатели подпрограммы 4 «Противодействие распространению туберкулеза»</w:t>
            </w:r>
          </w:p>
        </w:tc>
      </w:tr>
      <w:tr w:rsidR="003B08EC" w:rsidTr="004F57D1">
        <w:trPr>
          <w:trHeight w:hRule="exact" w:val="271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Задача 1. Предотвращение смертности от туберкулеза</w:t>
            </w:r>
          </w:p>
        </w:tc>
      </w:tr>
      <w:tr w:rsidR="003B08EC" w:rsidTr="004F57D1">
        <w:trPr>
          <w:trHeight w:hRule="exact" w:val="8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CF2805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12pt"/>
              </w:rPr>
              <w:t>1</w:t>
            </w:r>
            <w:r w:rsidR="00CF2805">
              <w:rPr>
                <w:rStyle w:val="212pt"/>
              </w:rPr>
              <w:t>5</w:t>
            </w:r>
            <w:r>
              <w:rPr>
                <w:rStyle w:val="212pt"/>
              </w:rPr>
              <w:t>. Смертность населения от туберкулеза на 100 тысяч человек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2pt"/>
              </w:rPr>
              <w:t>просантимилле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DA0B10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 xml:space="preserve">Лидский противотуберкулёзный кабинет ГОКЦ «Фтизиатрия», Лидская ЦРБ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2,02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1,98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1,96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1,94</w:t>
            </w:r>
          </w:p>
        </w:tc>
      </w:tr>
      <w:tr w:rsidR="003B08EC" w:rsidTr="004F57D1">
        <w:trPr>
          <w:trHeight w:hRule="exact" w:val="288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Задача 2. Совершенствование диагностики и лечения туберкулеза, предупреждение заболеваемости туберкулезом</w:t>
            </w:r>
          </w:p>
        </w:tc>
      </w:tr>
      <w:tr w:rsidR="003B08EC" w:rsidTr="004F57D1">
        <w:trPr>
          <w:trHeight w:hRule="exact"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CF2805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16</w:t>
            </w:r>
            <w:r w:rsidR="00A5260B">
              <w:rPr>
                <w:rStyle w:val="212pt"/>
              </w:rPr>
              <w:t>. Заболеваемость туберкулезом (с учетом рецидивов) на 100 тысяч человек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2pt"/>
              </w:rPr>
              <w:t>просантимилле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Лидский противотуберкулёзный кабинет ГОКЦ «Фтизиатрия», 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21,2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20,6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19,4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18,8</w:t>
            </w:r>
          </w:p>
        </w:tc>
      </w:tr>
      <w:tr w:rsidR="003B08EC" w:rsidTr="004F57D1">
        <w:trPr>
          <w:trHeight w:hRule="exact" w:val="275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Целевые показатели подпрограммы 5 «Профилактика ВИЧ-инфекции»</w:t>
            </w:r>
          </w:p>
        </w:tc>
      </w:tr>
      <w:tr w:rsidR="003B08EC" w:rsidTr="004F57D1">
        <w:trPr>
          <w:trHeight w:hRule="exact" w:val="577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after="60" w:line="240" w:lineRule="exact"/>
              <w:ind w:left="300"/>
              <w:jc w:val="center"/>
            </w:pPr>
            <w:r>
              <w:rPr>
                <w:rStyle w:val="212pt"/>
              </w:rPr>
              <w:t>Задача 1. Обеспечение всеобщего доступа к диагностике, лечению, уходу и социальной поддержке в связи с ВИЧ-инфекцией, в</w:t>
            </w:r>
          </w:p>
          <w:p w:rsidR="003B08EC" w:rsidRDefault="00A5260B" w:rsidP="004F57D1">
            <w:pPr>
              <w:pStyle w:val="20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том числе в пенитенциарной системе</w:t>
            </w:r>
          </w:p>
        </w:tc>
      </w:tr>
      <w:tr w:rsidR="003B08EC" w:rsidTr="004F57D1">
        <w:trPr>
          <w:trHeight w:hRule="exact" w:val="8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CF2805" w:rsidP="00CF2805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17</w:t>
            </w:r>
            <w:r w:rsidR="00A5260B">
              <w:rPr>
                <w:rStyle w:val="212pt"/>
              </w:rPr>
              <w:t>. Охват антиретровирусной терапией людей, живущих с ВИЧ и знающих свой ВИЧ- положительный статус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процентов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80"/>
              <w:jc w:val="center"/>
            </w:pPr>
            <w:r>
              <w:rPr>
                <w:rStyle w:val="212pt"/>
              </w:rPr>
              <w:t>90,5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92,0</w:t>
            </w:r>
          </w:p>
        </w:tc>
      </w:tr>
      <w:tr w:rsidR="003B08EC" w:rsidTr="004F57D1">
        <w:trPr>
          <w:trHeight w:hRule="exact" w:val="569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after="60" w:line="240" w:lineRule="exact"/>
              <w:jc w:val="center"/>
            </w:pPr>
            <w:r>
              <w:rPr>
                <w:rStyle w:val="212pt"/>
              </w:rPr>
              <w:t>Задача 2. Исключение вертикальной передачи ВИЧ-инфекции от матери ребенку и предупреждение случаев передачи ВИЧ,</w:t>
            </w:r>
            <w:r w:rsidR="004F57D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связанных с оказанием медицинской помощи</w:t>
            </w:r>
          </w:p>
        </w:tc>
      </w:tr>
      <w:tr w:rsidR="003B08EC" w:rsidTr="004F57D1">
        <w:trPr>
          <w:trHeight w:hRule="exact" w:val="5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CF2805" w:rsidP="00CF2805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18</w:t>
            </w:r>
            <w:r w:rsidR="00A5260B">
              <w:rPr>
                <w:rStyle w:val="212pt"/>
              </w:rPr>
              <w:t>. Риск передачи ВИЧ от ВИЧ-инфицированной матери ребенку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процентов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80"/>
              <w:jc w:val="center"/>
            </w:pPr>
            <w:r>
              <w:rPr>
                <w:rStyle w:val="212pt"/>
              </w:rPr>
              <w:t>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2,0</w:t>
            </w:r>
          </w:p>
        </w:tc>
      </w:tr>
      <w:tr w:rsidR="003B08EC" w:rsidTr="004F57D1">
        <w:trPr>
          <w:trHeight w:hRule="exact" w:val="982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98" w:lineRule="exact"/>
              <w:jc w:val="center"/>
            </w:pPr>
            <w:r>
              <w:rPr>
                <w:rStyle w:val="212pt"/>
              </w:rPr>
              <w:t>Задача 3. Снижение заболеваемости, сдерживание распространения ВИЧ-инфекции в группах населения с наибольшим риском инфицирования ВИЧ и повышение эффективности информационно-образовательной работы по профилактике ВИЧ-инфекции,</w:t>
            </w:r>
            <w:r w:rsidR="004F57D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недопущение дискриминации в отношении людей, живущих с ВИЧ</w:t>
            </w:r>
          </w:p>
        </w:tc>
      </w:tr>
      <w:tr w:rsidR="003B08EC" w:rsidTr="004F57D1">
        <w:trPr>
          <w:trHeight w:hRule="exact" w:val="8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CF2805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19</w:t>
            </w:r>
            <w:r w:rsidR="00A5260B">
              <w:rPr>
                <w:rStyle w:val="212pt"/>
              </w:rPr>
              <w:t>. Охват основных ключевых групп населения с высоким риском инфицирования ВИЧ- профилактическими мероприятиями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процентов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DA0B10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57,0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60"/>
              <w:jc w:val="center"/>
            </w:pPr>
            <w:r>
              <w:rPr>
                <w:rStyle w:val="212pt"/>
              </w:rPr>
              <w:t>58,0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64,0</w:t>
            </w:r>
          </w:p>
        </w:tc>
      </w:tr>
      <w:tr w:rsidR="003B08EC" w:rsidTr="004F57D1">
        <w:trPr>
          <w:trHeight w:hRule="exact" w:val="273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lastRenderedPageBreak/>
              <w:t>Целевой показатель подпрограммы 6 «Обеспечение функционирования системы здравоохранения Республики Беларусь»</w:t>
            </w:r>
          </w:p>
        </w:tc>
      </w:tr>
      <w:tr w:rsidR="003B08EC" w:rsidTr="004F57D1">
        <w:trPr>
          <w:trHeight w:hRule="exact" w:val="263"/>
        </w:trPr>
        <w:tc>
          <w:tcPr>
            <w:tcW w:w="159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4F57D1">
            <w:pPr>
              <w:pStyle w:val="20"/>
              <w:shd w:val="clear" w:color="auto" w:fill="auto"/>
              <w:spacing w:line="240" w:lineRule="exact"/>
              <w:ind w:hanging="10"/>
              <w:jc w:val="center"/>
            </w:pPr>
            <w:r>
              <w:rPr>
                <w:rStyle w:val="212pt"/>
              </w:rPr>
              <w:t>Задача 1. Создание условий для развития здравоохранения и обеспечение доступности медицинской помощи для всего населения</w:t>
            </w:r>
          </w:p>
        </w:tc>
      </w:tr>
      <w:tr w:rsidR="003B08EC" w:rsidTr="004F57D1">
        <w:trPr>
          <w:trHeight w:hRule="exact" w:val="8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CF2805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20</w:t>
            </w:r>
            <w:r w:rsidR="00A5260B">
              <w:rPr>
                <w:rStyle w:val="212pt"/>
              </w:rPr>
              <w:t>. Доля мероприятий подпрограммы, выполненных не менее чем на 90 процентов, в общем количестве таких мероприятий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процентов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CF2805" w:rsidP="00025B64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12pt"/>
              </w:rPr>
              <w:t>Лидский райисполком, Лидская ЦРБ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ind w:left="360"/>
              <w:jc w:val="center"/>
            </w:pPr>
            <w:r>
              <w:rPr>
                <w:rStyle w:val="212pt"/>
              </w:rPr>
              <w:t>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EC" w:rsidRDefault="00A5260B" w:rsidP="00025B6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90,0</w:t>
            </w:r>
          </w:p>
        </w:tc>
      </w:tr>
    </w:tbl>
    <w:p w:rsidR="003B08EC" w:rsidRDefault="003B08EC">
      <w:pPr>
        <w:rPr>
          <w:sz w:val="2"/>
          <w:szCs w:val="2"/>
        </w:rPr>
      </w:pPr>
      <w:bookmarkStart w:id="0" w:name="_GoBack"/>
      <w:bookmarkEnd w:id="0"/>
    </w:p>
    <w:sectPr w:rsidR="003B08EC" w:rsidSect="004F57D1">
      <w:footerReference w:type="default" r:id="rId7"/>
      <w:pgSz w:w="16840" w:h="11900" w:orient="landscape"/>
      <w:pgMar w:top="1134" w:right="567" w:bottom="1134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59" w:rsidRDefault="00D44459">
      <w:r>
        <w:separator/>
      </w:r>
    </w:p>
  </w:endnote>
  <w:endnote w:type="continuationSeparator" w:id="0">
    <w:p w:rsidR="00D44459" w:rsidRDefault="00D4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745436"/>
      <w:docPartObj>
        <w:docPartGallery w:val="Page Numbers (Bottom of Page)"/>
        <w:docPartUnique/>
      </w:docPartObj>
    </w:sdtPr>
    <w:sdtEndPr/>
    <w:sdtContent>
      <w:p w:rsidR="00AF3A8B" w:rsidRDefault="00AF3A8B">
        <w:pPr>
          <w:pStyle w:val="a8"/>
          <w:jc w:val="center"/>
        </w:pPr>
        <w:r w:rsidRPr="004F57D1">
          <w:rPr>
            <w:rFonts w:ascii="Times New Roman" w:hAnsi="Times New Roman" w:cs="Times New Roman"/>
          </w:rPr>
          <w:fldChar w:fldCharType="begin"/>
        </w:r>
        <w:r w:rsidRPr="004F57D1">
          <w:rPr>
            <w:rFonts w:ascii="Times New Roman" w:hAnsi="Times New Roman" w:cs="Times New Roman"/>
          </w:rPr>
          <w:instrText>PAGE   \* MERGEFORMAT</w:instrText>
        </w:r>
        <w:r w:rsidRPr="004F57D1">
          <w:rPr>
            <w:rFonts w:ascii="Times New Roman" w:hAnsi="Times New Roman" w:cs="Times New Roman"/>
          </w:rPr>
          <w:fldChar w:fldCharType="separate"/>
        </w:r>
        <w:r w:rsidR="004F57D1">
          <w:rPr>
            <w:rFonts w:ascii="Times New Roman" w:hAnsi="Times New Roman" w:cs="Times New Roman"/>
            <w:noProof/>
          </w:rPr>
          <w:t>1</w:t>
        </w:r>
        <w:r w:rsidRPr="004F57D1">
          <w:rPr>
            <w:rFonts w:ascii="Times New Roman" w:hAnsi="Times New Roman" w:cs="Times New Roman"/>
          </w:rPr>
          <w:fldChar w:fldCharType="end"/>
        </w:r>
      </w:p>
    </w:sdtContent>
  </w:sdt>
  <w:p w:rsidR="00AF3A8B" w:rsidRDefault="00AF3A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59" w:rsidRDefault="00D44459"/>
  </w:footnote>
  <w:footnote w:type="continuationSeparator" w:id="0">
    <w:p w:rsidR="00D44459" w:rsidRDefault="00D444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EC"/>
    <w:rsid w:val="00025B64"/>
    <w:rsid w:val="00295892"/>
    <w:rsid w:val="00371871"/>
    <w:rsid w:val="003B08EC"/>
    <w:rsid w:val="00482366"/>
    <w:rsid w:val="004A0D96"/>
    <w:rsid w:val="004F57D1"/>
    <w:rsid w:val="00A5260B"/>
    <w:rsid w:val="00AF3A8B"/>
    <w:rsid w:val="00CF2805"/>
    <w:rsid w:val="00D44459"/>
    <w:rsid w:val="00D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F3A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A8B"/>
    <w:rPr>
      <w:color w:val="000000"/>
    </w:rPr>
  </w:style>
  <w:style w:type="paragraph" w:styleId="a8">
    <w:name w:val="footer"/>
    <w:basedOn w:val="a"/>
    <w:link w:val="a9"/>
    <w:uiPriority w:val="99"/>
    <w:unhideWhenUsed/>
    <w:rsid w:val="00AF3A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A8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F3A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A8B"/>
    <w:rPr>
      <w:color w:val="000000"/>
    </w:rPr>
  </w:style>
  <w:style w:type="paragraph" w:styleId="a8">
    <w:name w:val="footer"/>
    <w:basedOn w:val="a"/>
    <w:link w:val="a9"/>
    <w:uiPriority w:val="99"/>
    <w:unhideWhenUsed/>
    <w:rsid w:val="00AF3A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A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sovety_pc</cp:lastModifiedBy>
  <cp:revision>2</cp:revision>
  <dcterms:created xsi:type="dcterms:W3CDTF">2021-07-15T11:42:00Z</dcterms:created>
  <dcterms:modified xsi:type="dcterms:W3CDTF">2021-07-15T11:42:00Z</dcterms:modified>
</cp:coreProperties>
</file>